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35967A" w14:textId="7EE7A9C8" w:rsidR="3878C432" w:rsidRDefault="3878C432" w:rsidP="3878C432">
      <w:pPr>
        <w:pStyle w:val="Geenafstand"/>
        <w:rPr>
          <w:sz w:val="28"/>
          <w:szCs w:val="28"/>
        </w:rPr>
      </w:pPr>
      <w:r w:rsidRPr="3878C432">
        <w:rPr>
          <w:b/>
          <w:bCs/>
          <w:sz w:val="28"/>
          <w:szCs w:val="28"/>
        </w:rPr>
        <w:t xml:space="preserve">Onderdeel 2: </w:t>
      </w:r>
    </w:p>
    <w:p w14:paraId="2148F329" w14:textId="6282EB4E" w:rsidR="3878C432" w:rsidRDefault="3878C432" w:rsidP="3878C432">
      <w:pPr>
        <w:pStyle w:val="Geenafstand"/>
        <w:rPr>
          <w:sz w:val="28"/>
          <w:szCs w:val="28"/>
        </w:rPr>
      </w:pPr>
      <w:r w:rsidRPr="3878C432">
        <w:rPr>
          <w:sz w:val="28"/>
          <w:szCs w:val="28"/>
        </w:rPr>
        <w:t xml:space="preserve">Verpakkingen zijn omhullingen van voedsel of andere producten, die na gebruik over het algemeen worden weggegooid als </w:t>
      </w:r>
      <w:hyperlink r:id="rId5">
        <w:r w:rsidRPr="3878C432">
          <w:rPr>
            <w:rStyle w:val="Hyperlink"/>
            <w:sz w:val="28"/>
            <w:szCs w:val="28"/>
          </w:rPr>
          <w:t>verpakkingsafval</w:t>
        </w:r>
      </w:hyperlink>
      <w:r w:rsidRPr="3878C432">
        <w:rPr>
          <w:sz w:val="28"/>
          <w:szCs w:val="28"/>
        </w:rPr>
        <w:t xml:space="preserve">. </w:t>
      </w:r>
    </w:p>
    <w:p w14:paraId="1787BD90" w14:textId="176ADB4A" w:rsidR="3878C432" w:rsidRDefault="3878C432" w:rsidP="3878C432">
      <w:pPr>
        <w:pStyle w:val="Geenafstand"/>
        <w:rPr>
          <w:sz w:val="28"/>
          <w:szCs w:val="28"/>
        </w:rPr>
      </w:pPr>
      <w:r w:rsidRPr="3878C432">
        <w:rPr>
          <w:sz w:val="28"/>
          <w:szCs w:val="28"/>
        </w:rPr>
        <w:t xml:space="preserve">Verpakkingen hebben in het algemeen vier functies, te weten: </w:t>
      </w:r>
    </w:p>
    <w:p w14:paraId="7C06B68A" w14:textId="6320685B" w:rsidR="3878C432" w:rsidRDefault="3878C432" w:rsidP="3878C432">
      <w:pPr>
        <w:pStyle w:val="Geenafstand"/>
        <w:numPr>
          <w:ilvl w:val="0"/>
          <w:numId w:val="1"/>
        </w:numPr>
        <w:rPr>
          <w:sz w:val="28"/>
          <w:szCs w:val="28"/>
        </w:rPr>
      </w:pPr>
      <w:r w:rsidRPr="3878C432">
        <w:rPr>
          <w:sz w:val="28"/>
          <w:szCs w:val="28"/>
        </w:rPr>
        <w:t xml:space="preserve">Bescherming van producten tegen bijvoorbeeld </w:t>
      </w:r>
      <w:hyperlink r:id="rId6">
        <w:r w:rsidRPr="3878C432">
          <w:rPr>
            <w:rStyle w:val="Hyperlink"/>
            <w:sz w:val="28"/>
            <w:szCs w:val="28"/>
          </w:rPr>
          <w:t>stof</w:t>
        </w:r>
      </w:hyperlink>
      <w:r w:rsidRPr="3878C432">
        <w:rPr>
          <w:sz w:val="28"/>
          <w:szCs w:val="28"/>
        </w:rPr>
        <w:t xml:space="preserve">, </w:t>
      </w:r>
      <w:hyperlink r:id="rId7">
        <w:r w:rsidRPr="3878C432">
          <w:rPr>
            <w:rStyle w:val="Hyperlink"/>
            <w:sz w:val="28"/>
            <w:szCs w:val="28"/>
          </w:rPr>
          <w:t>vocht</w:t>
        </w:r>
      </w:hyperlink>
      <w:r w:rsidRPr="3878C432">
        <w:rPr>
          <w:sz w:val="28"/>
          <w:szCs w:val="28"/>
        </w:rPr>
        <w:t xml:space="preserve"> en </w:t>
      </w:r>
      <w:hyperlink r:id="rId8">
        <w:r w:rsidRPr="3878C432">
          <w:rPr>
            <w:rStyle w:val="Hyperlink"/>
            <w:sz w:val="28"/>
            <w:szCs w:val="28"/>
          </w:rPr>
          <w:t>bacteriën</w:t>
        </w:r>
      </w:hyperlink>
      <w:r w:rsidRPr="3878C432">
        <w:rPr>
          <w:sz w:val="28"/>
          <w:szCs w:val="28"/>
        </w:rPr>
        <w:t xml:space="preserve">; de zogenaamde </w:t>
      </w:r>
      <w:r w:rsidRPr="3878C432">
        <w:rPr>
          <w:i/>
          <w:iCs/>
          <w:sz w:val="28"/>
          <w:szCs w:val="28"/>
        </w:rPr>
        <w:t>barrièrefunctie</w:t>
      </w:r>
      <w:r w:rsidRPr="3878C432">
        <w:rPr>
          <w:sz w:val="28"/>
          <w:szCs w:val="28"/>
        </w:rPr>
        <w:t>. Zoals:</w:t>
      </w:r>
    </w:p>
    <w:p w14:paraId="54351D34" w14:textId="297B45FD" w:rsidR="3878C432" w:rsidRDefault="3878C432" w:rsidP="3878C432">
      <w:pPr>
        <w:pStyle w:val="Geenafstand"/>
        <w:rPr>
          <w:sz w:val="28"/>
          <w:szCs w:val="28"/>
        </w:rPr>
      </w:pPr>
    </w:p>
    <w:p w14:paraId="71027925" w14:textId="103D5231" w:rsidR="3878C432" w:rsidRDefault="3878C432">
      <w:r>
        <w:rPr>
          <w:noProof/>
        </w:rPr>
        <w:drawing>
          <wp:inline distT="0" distB="0" distL="0" distR="0" wp14:anchorId="65E9CFC7" wp14:editId="714C29E3">
            <wp:extent cx="1699971" cy="2260601"/>
            <wp:effectExtent l="0" t="0" r="0" b="0"/>
            <wp:docPr id="5407462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699971" cy="2260601"/>
                    </a:xfrm>
                    <a:prstGeom prst="rect">
                      <a:avLst/>
                    </a:prstGeom>
                  </pic:spPr>
                </pic:pic>
              </a:graphicData>
            </a:graphic>
          </wp:inline>
        </w:drawing>
      </w:r>
      <w:bookmarkStart w:id="0" w:name="_GoBack"/>
      <w:r>
        <w:rPr>
          <w:noProof/>
        </w:rPr>
        <w:drawing>
          <wp:inline distT="0" distB="0" distL="0" distR="0" wp14:anchorId="124C9C23" wp14:editId="09BA0D22">
            <wp:extent cx="2051288" cy="2051288"/>
            <wp:effectExtent l="0" t="0" r="0" b="0"/>
            <wp:docPr id="18097470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1288" cy="2051288"/>
                    </a:xfrm>
                    <a:prstGeom prst="rect">
                      <a:avLst/>
                    </a:prstGeom>
                  </pic:spPr>
                </pic:pic>
              </a:graphicData>
            </a:graphic>
          </wp:inline>
        </w:drawing>
      </w:r>
      <w:bookmarkEnd w:id="0"/>
    </w:p>
    <w:p w14:paraId="7799E7E4" w14:textId="3BFFDB01" w:rsidR="3878C432" w:rsidRDefault="3878C432" w:rsidP="3878C432">
      <w:pPr>
        <w:pStyle w:val="Geenafstand"/>
        <w:numPr>
          <w:ilvl w:val="0"/>
          <w:numId w:val="1"/>
        </w:numPr>
        <w:rPr>
          <w:sz w:val="28"/>
          <w:szCs w:val="28"/>
        </w:rPr>
      </w:pPr>
      <w:r w:rsidRPr="3878C432">
        <w:rPr>
          <w:sz w:val="28"/>
          <w:szCs w:val="28"/>
        </w:rPr>
        <w:t xml:space="preserve">Het bijeenhouden van producten, die een eenheid vormen, bijvoorbeeld </w:t>
      </w:r>
      <w:proofErr w:type="gramStart"/>
      <w:r w:rsidRPr="3878C432">
        <w:rPr>
          <w:sz w:val="28"/>
          <w:szCs w:val="28"/>
        </w:rPr>
        <w:t>om</w:t>
      </w:r>
      <w:proofErr w:type="gramEnd"/>
      <w:r w:rsidRPr="3878C432">
        <w:rPr>
          <w:sz w:val="28"/>
          <w:szCs w:val="28"/>
        </w:rPr>
        <w:t xml:space="preserve"> producten te vervoeren en te verhandelen. Een aardappelchip bijvoorbeeld wordt natuurlijk niet los verkocht, maar als eenheid samen met andere chips, dus als gewichtseenheid van bijvoorbeeld 75 gram of 200 gram. </w:t>
      </w:r>
    </w:p>
    <w:p w14:paraId="318BD09E" w14:textId="37841287" w:rsidR="3878C432" w:rsidRDefault="3878C432">
      <w:r>
        <w:rPr>
          <w:noProof/>
        </w:rPr>
        <w:lastRenderedPageBreak/>
        <w:drawing>
          <wp:inline distT="0" distB="0" distL="0" distR="0" wp14:anchorId="44B7697C" wp14:editId="0878C664">
            <wp:extent cx="2032843" cy="1503214"/>
            <wp:effectExtent l="0" t="0" r="0" b="0"/>
            <wp:docPr id="10849689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2032843" cy="1503214"/>
                    </a:xfrm>
                    <a:prstGeom prst="rect">
                      <a:avLst/>
                    </a:prstGeom>
                  </pic:spPr>
                </pic:pic>
              </a:graphicData>
            </a:graphic>
          </wp:inline>
        </w:drawing>
      </w:r>
      <w:r>
        <w:rPr>
          <w:noProof/>
        </w:rPr>
        <w:drawing>
          <wp:inline distT="0" distB="0" distL="0" distR="0" wp14:anchorId="2FB8595F" wp14:editId="11DEE50C">
            <wp:extent cx="2958353" cy="1885950"/>
            <wp:effectExtent l="0" t="0" r="0" b="0"/>
            <wp:docPr id="17789603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2958353" cy="1885950"/>
                    </a:xfrm>
                    <a:prstGeom prst="rect">
                      <a:avLst/>
                    </a:prstGeom>
                  </pic:spPr>
                </pic:pic>
              </a:graphicData>
            </a:graphic>
          </wp:inline>
        </w:drawing>
      </w:r>
      <w:r>
        <w:rPr>
          <w:noProof/>
        </w:rPr>
        <w:drawing>
          <wp:inline distT="0" distB="0" distL="0" distR="0" wp14:anchorId="6319C831" wp14:editId="36F50375">
            <wp:extent cx="1990725" cy="1990725"/>
            <wp:effectExtent l="0" t="0" r="0" b="0"/>
            <wp:docPr id="15042913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0725" cy="1990725"/>
                    </a:xfrm>
                    <a:prstGeom prst="rect">
                      <a:avLst/>
                    </a:prstGeom>
                  </pic:spPr>
                </pic:pic>
              </a:graphicData>
            </a:graphic>
          </wp:inline>
        </w:drawing>
      </w:r>
      <w:r>
        <w:rPr>
          <w:noProof/>
        </w:rPr>
        <w:drawing>
          <wp:inline distT="0" distB="0" distL="0" distR="0" wp14:anchorId="00ACAB4D" wp14:editId="634D9D42">
            <wp:extent cx="2714526" cy="1766023"/>
            <wp:effectExtent l="0" t="0" r="0" b="0"/>
            <wp:docPr id="11213785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4526" cy="1766023"/>
                    </a:xfrm>
                    <a:prstGeom prst="rect">
                      <a:avLst/>
                    </a:prstGeom>
                  </pic:spPr>
                </pic:pic>
              </a:graphicData>
            </a:graphic>
          </wp:inline>
        </w:drawing>
      </w:r>
    </w:p>
    <w:p w14:paraId="1F995F72" w14:textId="15BAC2D1" w:rsidR="3878C432" w:rsidRDefault="3878C432" w:rsidP="3878C432">
      <w:pPr>
        <w:pStyle w:val="Geenafstand"/>
        <w:numPr>
          <w:ilvl w:val="0"/>
          <w:numId w:val="1"/>
        </w:numPr>
        <w:rPr>
          <w:sz w:val="28"/>
          <w:szCs w:val="28"/>
        </w:rPr>
      </w:pPr>
      <w:r w:rsidRPr="3878C432">
        <w:rPr>
          <w:sz w:val="28"/>
          <w:szCs w:val="28"/>
        </w:rPr>
        <w:t xml:space="preserve">Het delen van productinformatie, bijvoorbeeld een gebruiksaanwijzing, ingrediëntendeclaratie, houdbaarheidsdatum. </w:t>
      </w:r>
    </w:p>
    <w:p w14:paraId="05908795" w14:textId="566B7355" w:rsidR="3878C432" w:rsidRDefault="3878C432">
      <w:r>
        <w:rPr>
          <w:noProof/>
        </w:rPr>
        <w:drawing>
          <wp:inline distT="0" distB="0" distL="0" distR="0" wp14:anchorId="6459C03E" wp14:editId="5504D9F4">
            <wp:extent cx="2535968" cy="1619250"/>
            <wp:effectExtent l="0" t="0" r="0" b="0"/>
            <wp:docPr id="12803855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2535968" cy="1619250"/>
                    </a:xfrm>
                    <a:prstGeom prst="rect">
                      <a:avLst/>
                    </a:prstGeom>
                  </pic:spPr>
                </pic:pic>
              </a:graphicData>
            </a:graphic>
          </wp:inline>
        </w:drawing>
      </w:r>
    </w:p>
    <w:p w14:paraId="33D6D33E" w14:textId="10970139" w:rsidR="3878C432" w:rsidRDefault="3878C432" w:rsidP="3878C432">
      <w:pPr>
        <w:pStyle w:val="Geenafstand"/>
        <w:rPr>
          <w:sz w:val="28"/>
          <w:szCs w:val="28"/>
        </w:rPr>
      </w:pPr>
    </w:p>
    <w:p w14:paraId="2B469AFA" w14:textId="77044A62" w:rsidR="3878C432" w:rsidRDefault="724DCF5B" w:rsidP="3878C432">
      <w:pPr>
        <w:pStyle w:val="Geenafstand"/>
        <w:numPr>
          <w:ilvl w:val="0"/>
          <w:numId w:val="1"/>
        </w:numPr>
        <w:rPr>
          <w:sz w:val="28"/>
          <w:szCs w:val="28"/>
        </w:rPr>
      </w:pPr>
      <w:r w:rsidRPr="724DCF5B">
        <w:rPr>
          <w:sz w:val="28"/>
          <w:szCs w:val="28"/>
        </w:rPr>
        <w:t xml:space="preserve">Alsmede het inzetten van (reclame-)uitingen met als doel de aandacht van de consument te trekken op het schap door middel van kleur, vormgeving of anderszins. </w:t>
      </w:r>
    </w:p>
    <w:p w14:paraId="5BF70731" w14:textId="61D86CDB" w:rsidR="724DCF5B" w:rsidRDefault="724DCF5B">
      <w:r>
        <w:rPr>
          <w:noProof/>
        </w:rPr>
        <w:lastRenderedPageBreak/>
        <w:drawing>
          <wp:inline distT="0" distB="0" distL="0" distR="0" wp14:anchorId="6815102E" wp14:editId="5D6F9966">
            <wp:extent cx="3105776" cy="2326334"/>
            <wp:effectExtent l="0" t="0" r="0" b="0"/>
            <wp:docPr id="2981937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3105776" cy="2326334"/>
                    </a:xfrm>
                    <a:prstGeom prst="rect">
                      <a:avLst/>
                    </a:prstGeom>
                  </pic:spPr>
                </pic:pic>
              </a:graphicData>
            </a:graphic>
          </wp:inline>
        </w:drawing>
      </w:r>
    </w:p>
    <w:p w14:paraId="2A935E01" w14:textId="6697A6BC" w:rsidR="3878C432" w:rsidRDefault="3878C432" w:rsidP="3878C432">
      <w:pPr>
        <w:pStyle w:val="Geenafstand"/>
        <w:rPr>
          <w:sz w:val="28"/>
          <w:szCs w:val="28"/>
        </w:rPr>
      </w:pPr>
      <w:r w:rsidRPr="3878C432">
        <w:rPr>
          <w:sz w:val="28"/>
          <w:szCs w:val="28"/>
        </w:rPr>
        <w:t xml:space="preserve"> </w:t>
      </w:r>
    </w:p>
    <w:p w14:paraId="2B6938CD" w14:textId="2D3C1633" w:rsidR="3878C432" w:rsidRDefault="3878C432">
      <w:r>
        <w:br w:type="page"/>
      </w:r>
    </w:p>
    <w:p w14:paraId="62D3256C" w14:textId="34128D60" w:rsidR="3878C432" w:rsidRDefault="3878C432" w:rsidP="3878C432">
      <w:pPr>
        <w:pStyle w:val="Geenafstand"/>
        <w:rPr>
          <w:sz w:val="28"/>
          <w:szCs w:val="28"/>
        </w:rPr>
      </w:pPr>
      <w:r w:rsidRPr="3878C432">
        <w:rPr>
          <w:sz w:val="28"/>
          <w:szCs w:val="28"/>
        </w:rPr>
        <w:lastRenderedPageBreak/>
        <w:t xml:space="preserve">Ongeveer de helft van de weggegooide verpakkingen in ons land komt van huishoudens. De andere helft gaat om bedrijfsverpakkingen, zoals houten pallets en krimpfolie om dozen. De productie en het transport van deze verpakkingen kosten grondstoffen en energie. Dit versterkt milieuproblemen zoals Klimaatverandering. Bij de afvalverwerking kunnen bovendien stoffen vrijkomen die schadelijk zijn voor het milieu. </w:t>
      </w:r>
    </w:p>
    <w:p w14:paraId="509194C3" w14:textId="45554EE8" w:rsidR="3878C432" w:rsidRDefault="3878C432" w:rsidP="3878C432">
      <w:pPr>
        <w:pStyle w:val="Geenafstand"/>
        <w:rPr>
          <w:sz w:val="28"/>
          <w:szCs w:val="28"/>
        </w:rPr>
      </w:pPr>
      <w:r w:rsidRPr="3878C432">
        <w:rPr>
          <w:sz w:val="28"/>
          <w:szCs w:val="28"/>
        </w:rPr>
        <w:t xml:space="preserve">Toch heeft het gebruik van verpakkingen ook grote voordelen. Verpakkingen voorkomen verspilling en bederf van producten. Ze verbeteren de houdbaarheid van voedingsmiddelen en bieden diverse producten bescherming tijdens transport en opslag. </w:t>
      </w:r>
    </w:p>
    <w:p w14:paraId="4CA7D36A" w14:textId="1E2EDFF2" w:rsidR="3878C432" w:rsidRDefault="3878C432" w:rsidP="3878C432">
      <w:pPr>
        <w:pStyle w:val="Geenafstand"/>
        <w:rPr>
          <w:sz w:val="28"/>
          <w:szCs w:val="28"/>
        </w:rPr>
      </w:pPr>
      <w:r w:rsidRPr="3878C432">
        <w:rPr>
          <w:sz w:val="28"/>
          <w:szCs w:val="28"/>
        </w:rPr>
        <w:t xml:space="preserve">Door verbeterde technieken en aandacht voor afvalpreventie, zijn verpakkingen de afgelopen decennia lichter geworden, waardoor ze minder grondstoffen kosten en minder afval veroorzaken. Hergebruik door gescheiden inzameling en </w:t>
      </w:r>
      <w:proofErr w:type="spellStart"/>
      <w:r w:rsidRPr="3878C432">
        <w:rPr>
          <w:sz w:val="28"/>
          <w:szCs w:val="28"/>
        </w:rPr>
        <w:t>nascheiding</w:t>
      </w:r>
      <w:proofErr w:type="spellEnd"/>
      <w:r w:rsidRPr="3878C432">
        <w:rPr>
          <w:sz w:val="28"/>
          <w:szCs w:val="28"/>
        </w:rPr>
        <w:t xml:space="preserve"> in de afvalverbrandingsinstallatie vermindert de milieubelasting van de productie van verpakkingsmateriaal. </w:t>
      </w:r>
    </w:p>
    <w:p w14:paraId="4E75C0DB" w14:textId="40A67466" w:rsidR="3878C432" w:rsidRDefault="00895598" w:rsidP="3878C432">
      <w:pPr>
        <w:pStyle w:val="Geenafstand"/>
        <w:rPr>
          <w:sz w:val="28"/>
          <w:szCs w:val="28"/>
        </w:rPr>
      </w:pPr>
      <w:hyperlink r:id="rId17">
        <w:r w:rsidR="3878C432" w:rsidRPr="3878C432">
          <w:rPr>
            <w:rStyle w:val="Hyperlink"/>
            <w:sz w:val="28"/>
            <w:szCs w:val="28"/>
          </w:rPr>
          <w:t>https://www.milieucentraal.nl/minder-afval/verpakkingen/</w:t>
        </w:r>
      </w:hyperlink>
      <w:r w:rsidR="3878C432" w:rsidRPr="3878C432">
        <w:rPr>
          <w:sz w:val="28"/>
          <w:szCs w:val="28"/>
        </w:rPr>
        <w:t xml:space="preserve"> </w:t>
      </w:r>
    </w:p>
    <w:p w14:paraId="755721D9" w14:textId="673E0B36" w:rsidR="3878C432" w:rsidRDefault="3878C432" w:rsidP="3878C432">
      <w:pPr>
        <w:pStyle w:val="Geenafstand"/>
        <w:rPr>
          <w:sz w:val="28"/>
          <w:szCs w:val="28"/>
        </w:rPr>
      </w:pPr>
      <w:r w:rsidRPr="3878C432">
        <w:rPr>
          <w:sz w:val="28"/>
          <w:szCs w:val="28"/>
        </w:rPr>
        <w:br w:type="page"/>
      </w:r>
    </w:p>
    <w:p w14:paraId="68D20932" w14:textId="2554C324" w:rsidR="3878C432" w:rsidRDefault="3878C432" w:rsidP="3878C432">
      <w:pPr>
        <w:pStyle w:val="Geenafstand"/>
        <w:rPr>
          <w:sz w:val="28"/>
          <w:szCs w:val="28"/>
        </w:rPr>
      </w:pPr>
      <w:r>
        <w:rPr>
          <w:noProof/>
        </w:rPr>
        <w:lastRenderedPageBreak/>
        <w:drawing>
          <wp:inline distT="0" distB="0" distL="0" distR="0" wp14:anchorId="78C28837" wp14:editId="3AA0A58C">
            <wp:extent cx="4191000" cy="2514600"/>
            <wp:effectExtent l="0" t="0" r="0" b="0"/>
            <wp:docPr id="7225929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4191000" cy="2514600"/>
                    </a:xfrm>
                    <a:prstGeom prst="rect">
                      <a:avLst/>
                    </a:prstGeom>
                  </pic:spPr>
                </pic:pic>
              </a:graphicData>
            </a:graphic>
          </wp:inline>
        </w:drawing>
      </w:r>
    </w:p>
    <w:p w14:paraId="0BD9A606" w14:textId="0DAD1922" w:rsidR="3878C432" w:rsidRDefault="3878C432" w:rsidP="3878C432">
      <w:pPr>
        <w:pStyle w:val="Geenafstand"/>
        <w:rPr>
          <w:sz w:val="28"/>
          <w:szCs w:val="28"/>
        </w:rPr>
      </w:pPr>
      <w:r w:rsidRPr="3878C432">
        <w:rPr>
          <w:sz w:val="28"/>
          <w:szCs w:val="28"/>
        </w:rPr>
        <w:t>Dit zijn Plastic pakjes die worden gebruikt met bijvoorbeeld: Patat, bami, Nazi, Saté,</w:t>
      </w:r>
    </w:p>
    <w:p w14:paraId="3481081D" w14:textId="4A1136A0" w:rsidR="3878C432" w:rsidRDefault="3878C432" w:rsidP="3878C432">
      <w:pPr>
        <w:pStyle w:val="Geenafstand"/>
        <w:rPr>
          <w:sz w:val="28"/>
          <w:szCs w:val="28"/>
        </w:rPr>
      </w:pPr>
    </w:p>
    <w:p w14:paraId="6E07344D" w14:textId="2F815C83" w:rsidR="3878C432" w:rsidRDefault="3878C432">
      <w:r>
        <w:rPr>
          <w:noProof/>
        </w:rPr>
        <w:drawing>
          <wp:inline distT="0" distB="0" distL="0" distR="0" wp14:anchorId="7A74E887" wp14:editId="00B9307F">
            <wp:extent cx="4057650" cy="2686050"/>
            <wp:effectExtent l="0" t="0" r="0" b="0"/>
            <wp:docPr id="3817400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4057650" cy="2686050"/>
                    </a:xfrm>
                    <a:prstGeom prst="rect">
                      <a:avLst/>
                    </a:prstGeom>
                  </pic:spPr>
                </pic:pic>
              </a:graphicData>
            </a:graphic>
          </wp:inline>
        </w:drawing>
      </w:r>
    </w:p>
    <w:p w14:paraId="646658E1" w14:textId="4ADD741F" w:rsidR="3878C432" w:rsidRDefault="3878C432" w:rsidP="3878C432">
      <w:r>
        <w:t>Deze Plastic flessen wordt gebruikt voor drinkwater, andere modellen worden ook gebruikt voor andere dranken.</w:t>
      </w:r>
    </w:p>
    <w:p w14:paraId="074D5F1F" w14:textId="53CA4117" w:rsidR="3878C432" w:rsidRDefault="3878C432" w:rsidP="3878C432"/>
    <w:p w14:paraId="6BA93002" w14:textId="59CEB167" w:rsidR="3878C432" w:rsidRDefault="3878C432">
      <w:r>
        <w:rPr>
          <w:noProof/>
        </w:rPr>
        <w:lastRenderedPageBreak/>
        <w:drawing>
          <wp:inline distT="0" distB="0" distL="0" distR="0" wp14:anchorId="02D538D7" wp14:editId="2DA2D197">
            <wp:extent cx="4572000" cy="4572000"/>
            <wp:effectExtent l="0" t="0" r="0" b="0"/>
            <wp:docPr id="14264300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6C4E3D17" w14:textId="0DF2965F" w:rsidR="3878C432" w:rsidRDefault="3878C432" w:rsidP="3878C432">
      <w:r>
        <w:t xml:space="preserve">In dit soort make-up verpakking </w:t>
      </w:r>
      <w:proofErr w:type="gramStart"/>
      <w:r>
        <w:t>word</w:t>
      </w:r>
      <w:proofErr w:type="gramEnd"/>
      <w:r>
        <w:t xml:space="preserve"> bijvoorbeeld ogenschaduw of </w:t>
      </w:r>
      <w:proofErr w:type="spellStart"/>
      <w:r>
        <w:t>blush</w:t>
      </w:r>
      <w:proofErr w:type="spellEnd"/>
      <w:r>
        <w:t xml:space="preserve"> in verpakt.</w:t>
      </w:r>
    </w:p>
    <w:p w14:paraId="435FB3EC" w14:textId="56445517" w:rsidR="3878C432" w:rsidRDefault="3878C432" w:rsidP="3878C432"/>
    <w:p w14:paraId="609FBCEA" w14:textId="3FE1C2C8" w:rsidR="3878C432" w:rsidRDefault="3878C432">
      <w:r>
        <w:rPr>
          <w:noProof/>
        </w:rPr>
        <w:drawing>
          <wp:inline distT="0" distB="0" distL="0" distR="0" wp14:anchorId="087A45A8" wp14:editId="0808DBC7">
            <wp:extent cx="4572000" cy="2705100"/>
            <wp:effectExtent l="0" t="0" r="0" b="0"/>
            <wp:docPr id="3828828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4572000" cy="2705100"/>
                    </a:xfrm>
                    <a:prstGeom prst="rect">
                      <a:avLst/>
                    </a:prstGeom>
                  </pic:spPr>
                </pic:pic>
              </a:graphicData>
            </a:graphic>
          </wp:inline>
        </w:drawing>
      </w:r>
    </w:p>
    <w:p w14:paraId="559FE7F4" w14:textId="204FA22B" w:rsidR="3878C432" w:rsidRDefault="3878C432" w:rsidP="3878C432">
      <w:r>
        <w:t>Hierin worden schoonmaakmiddelen verpakt, Zoals allesreiniger en afwasmiddelen.</w:t>
      </w:r>
    </w:p>
    <w:p w14:paraId="41F69969" w14:textId="2391A0DC" w:rsidR="3878C432" w:rsidRDefault="3878C432" w:rsidP="3878C432"/>
    <w:p w14:paraId="2AD46748" w14:textId="41453B0C" w:rsidR="3878C432" w:rsidRDefault="3878C432">
      <w:r>
        <w:rPr>
          <w:noProof/>
        </w:rPr>
        <w:lastRenderedPageBreak/>
        <w:drawing>
          <wp:inline distT="0" distB="0" distL="0" distR="0" wp14:anchorId="4D9582EA" wp14:editId="4FF0D52E">
            <wp:extent cx="3810000" cy="2524125"/>
            <wp:effectExtent l="0" t="0" r="0" b="0"/>
            <wp:docPr id="5892045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3810000" cy="2524125"/>
                    </a:xfrm>
                    <a:prstGeom prst="rect">
                      <a:avLst/>
                    </a:prstGeom>
                  </pic:spPr>
                </pic:pic>
              </a:graphicData>
            </a:graphic>
          </wp:inline>
        </w:drawing>
      </w:r>
    </w:p>
    <w:p w14:paraId="66050749" w14:textId="24B4A2A9" w:rsidR="3878C432" w:rsidRDefault="3878C432" w:rsidP="3878C432">
      <w:r>
        <w:t xml:space="preserve">Hierin worden lichaamsbehandeling producten in </w:t>
      </w:r>
      <w:proofErr w:type="spellStart"/>
      <w:r>
        <w:t>veerpakt</w:t>
      </w:r>
      <w:proofErr w:type="spellEnd"/>
      <w:r>
        <w:t>, zoals douchegel en deodorant.</w:t>
      </w:r>
    </w:p>
    <w:p w14:paraId="789C6B39" w14:textId="3576AD3D" w:rsidR="3878C432" w:rsidRDefault="3878C432" w:rsidP="3878C432"/>
    <w:p w14:paraId="49340901" w14:textId="476F8276" w:rsidR="3878C432" w:rsidRDefault="3878C432">
      <w:r>
        <w:rPr>
          <w:noProof/>
        </w:rPr>
        <w:drawing>
          <wp:inline distT="0" distB="0" distL="0" distR="0" wp14:anchorId="49CEC9E1" wp14:editId="54BDA503">
            <wp:extent cx="4572000" cy="3038475"/>
            <wp:effectExtent l="0" t="0" r="0" b="0"/>
            <wp:docPr id="1697031050" name="picture"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4572000" cy="3038475"/>
                    </a:xfrm>
                    <a:prstGeom prst="rect">
                      <a:avLst/>
                    </a:prstGeom>
                  </pic:spPr>
                </pic:pic>
              </a:graphicData>
            </a:graphic>
          </wp:inline>
        </w:drawing>
      </w:r>
    </w:p>
    <w:p w14:paraId="24174512" w14:textId="6C45AEA8" w:rsidR="3878C432" w:rsidRDefault="3878C432" w:rsidP="3878C432">
      <w:r>
        <w:t>Dit snoep wordt dubbel verpakt.</w:t>
      </w:r>
    </w:p>
    <w:sectPr w:rsidR="3878C4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231B61"/>
    <w:multiLevelType w:val="hybridMultilevel"/>
    <w:tmpl w:val="FEEA07FA"/>
    <w:lvl w:ilvl="0" w:tplc="84843800">
      <w:start w:val="1"/>
      <w:numFmt w:val="bullet"/>
      <w:lvlText w:val=""/>
      <w:lvlJc w:val="left"/>
      <w:pPr>
        <w:ind w:left="720" w:hanging="360"/>
      </w:pPr>
      <w:rPr>
        <w:rFonts w:ascii="Symbol" w:hAnsi="Symbol" w:hint="default"/>
      </w:rPr>
    </w:lvl>
    <w:lvl w:ilvl="1" w:tplc="BE86C8A4">
      <w:start w:val="1"/>
      <w:numFmt w:val="bullet"/>
      <w:lvlText w:val="o"/>
      <w:lvlJc w:val="left"/>
      <w:pPr>
        <w:ind w:left="1440" w:hanging="360"/>
      </w:pPr>
      <w:rPr>
        <w:rFonts w:ascii="Courier New" w:hAnsi="Courier New" w:hint="default"/>
      </w:rPr>
    </w:lvl>
    <w:lvl w:ilvl="2" w:tplc="CD8CF2EA">
      <w:start w:val="1"/>
      <w:numFmt w:val="bullet"/>
      <w:lvlText w:val=""/>
      <w:lvlJc w:val="left"/>
      <w:pPr>
        <w:ind w:left="2160" w:hanging="360"/>
      </w:pPr>
      <w:rPr>
        <w:rFonts w:ascii="Wingdings" w:hAnsi="Wingdings" w:hint="default"/>
      </w:rPr>
    </w:lvl>
    <w:lvl w:ilvl="3" w:tplc="B6CC63BA">
      <w:start w:val="1"/>
      <w:numFmt w:val="bullet"/>
      <w:lvlText w:val=""/>
      <w:lvlJc w:val="left"/>
      <w:pPr>
        <w:ind w:left="2880" w:hanging="360"/>
      </w:pPr>
      <w:rPr>
        <w:rFonts w:ascii="Symbol" w:hAnsi="Symbol" w:hint="default"/>
      </w:rPr>
    </w:lvl>
    <w:lvl w:ilvl="4" w:tplc="5DD0734A">
      <w:start w:val="1"/>
      <w:numFmt w:val="bullet"/>
      <w:lvlText w:val="o"/>
      <w:lvlJc w:val="left"/>
      <w:pPr>
        <w:ind w:left="3600" w:hanging="360"/>
      </w:pPr>
      <w:rPr>
        <w:rFonts w:ascii="Courier New" w:hAnsi="Courier New" w:hint="default"/>
      </w:rPr>
    </w:lvl>
    <w:lvl w:ilvl="5" w:tplc="80AA819A">
      <w:start w:val="1"/>
      <w:numFmt w:val="bullet"/>
      <w:lvlText w:val=""/>
      <w:lvlJc w:val="left"/>
      <w:pPr>
        <w:ind w:left="4320" w:hanging="360"/>
      </w:pPr>
      <w:rPr>
        <w:rFonts w:ascii="Wingdings" w:hAnsi="Wingdings" w:hint="default"/>
      </w:rPr>
    </w:lvl>
    <w:lvl w:ilvl="6" w:tplc="66949F7C">
      <w:start w:val="1"/>
      <w:numFmt w:val="bullet"/>
      <w:lvlText w:val=""/>
      <w:lvlJc w:val="left"/>
      <w:pPr>
        <w:ind w:left="5040" w:hanging="360"/>
      </w:pPr>
      <w:rPr>
        <w:rFonts w:ascii="Symbol" w:hAnsi="Symbol" w:hint="default"/>
      </w:rPr>
    </w:lvl>
    <w:lvl w:ilvl="7" w:tplc="D48C9070">
      <w:start w:val="1"/>
      <w:numFmt w:val="bullet"/>
      <w:lvlText w:val="o"/>
      <w:lvlJc w:val="left"/>
      <w:pPr>
        <w:ind w:left="5760" w:hanging="360"/>
      </w:pPr>
      <w:rPr>
        <w:rFonts w:ascii="Courier New" w:hAnsi="Courier New" w:hint="default"/>
      </w:rPr>
    </w:lvl>
    <w:lvl w:ilvl="8" w:tplc="C0CCF13A">
      <w:start w:val="1"/>
      <w:numFmt w:val="bullet"/>
      <w:lvlText w:val=""/>
      <w:lvlJc w:val="left"/>
      <w:pPr>
        <w:ind w:left="6480" w:hanging="360"/>
      </w:pPr>
      <w:rPr>
        <w:rFonts w:ascii="Wingdings" w:hAnsi="Wingdings" w:hint="default"/>
      </w:rPr>
    </w:lvl>
  </w:abstractNum>
  <w:abstractNum w:abstractNumId="1" w15:restartNumberingAfterBreak="0">
    <w:nsid w:val="70C62026"/>
    <w:multiLevelType w:val="hybridMultilevel"/>
    <w:tmpl w:val="35DCAA84"/>
    <w:lvl w:ilvl="0" w:tplc="19066D46">
      <w:start w:val="1"/>
      <w:numFmt w:val="bullet"/>
      <w:lvlText w:val=""/>
      <w:lvlJc w:val="left"/>
      <w:pPr>
        <w:ind w:left="720" w:hanging="360"/>
      </w:pPr>
      <w:rPr>
        <w:rFonts w:ascii="Symbol" w:hAnsi="Symbol" w:hint="default"/>
      </w:rPr>
    </w:lvl>
    <w:lvl w:ilvl="1" w:tplc="B6489FF8">
      <w:start w:val="1"/>
      <w:numFmt w:val="bullet"/>
      <w:lvlText w:val="o"/>
      <w:lvlJc w:val="left"/>
      <w:pPr>
        <w:ind w:left="1440" w:hanging="360"/>
      </w:pPr>
      <w:rPr>
        <w:rFonts w:ascii="Courier New" w:hAnsi="Courier New" w:hint="default"/>
      </w:rPr>
    </w:lvl>
    <w:lvl w:ilvl="2" w:tplc="794A966E">
      <w:start w:val="1"/>
      <w:numFmt w:val="bullet"/>
      <w:lvlText w:val=""/>
      <w:lvlJc w:val="left"/>
      <w:pPr>
        <w:ind w:left="2160" w:hanging="360"/>
      </w:pPr>
      <w:rPr>
        <w:rFonts w:ascii="Wingdings" w:hAnsi="Wingdings" w:hint="default"/>
      </w:rPr>
    </w:lvl>
    <w:lvl w:ilvl="3" w:tplc="A2BA6C54">
      <w:start w:val="1"/>
      <w:numFmt w:val="bullet"/>
      <w:lvlText w:val=""/>
      <w:lvlJc w:val="left"/>
      <w:pPr>
        <w:ind w:left="2880" w:hanging="360"/>
      </w:pPr>
      <w:rPr>
        <w:rFonts w:ascii="Symbol" w:hAnsi="Symbol" w:hint="default"/>
      </w:rPr>
    </w:lvl>
    <w:lvl w:ilvl="4" w:tplc="7220AF78">
      <w:start w:val="1"/>
      <w:numFmt w:val="bullet"/>
      <w:lvlText w:val="o"/>
      <w:lvlJc w:val="left"/>
      <w:pPr>
        <w:ind w:left="3600" w:hanging="360"/>
      </w:pPr>
      <w:rPr>
        <w:rFonts w:ascii="Courier New" w:hAnsi="Courier New" w:hint="default"/>
      </w:rPr>
    </w:lvl>
    <w:lvl w:ilvl="5" w:tplc="264A4FB0">
      <w:start w:val="1"/>
      <w:numFmt w:val="bullet"/>
      <w:lvlText w:val=""/>
      <w:lvlJc w:val="left"/>
      <w:pPr>
        <w:ind w:left="4320" w:hanging="360"/>
      </w:pPr>
      <w:rPr>
        <w:rFonts w:ascii="Wingdings" w:hAnsi="Wingdings" w:hint="default"/>
      </w:rPr>
    </w:lvl>
    <w:lvl w:ilvl="6" w:tplc="85EE6F36">
      <w:start w:val="1"/>
      <w:numFmt w:val="bullet"/>
      <w:lvlText w:val=""/>
      <w:lvlJc w:val="left"/>
      <w:pPr>
        <w:ind w:left="5040" w:hanging="360"/>
      </w:pPr>
      <w:rPr>
        <w:rFonts w:ascii="Symbol" w:hAnsi="Symbol" w:hint="default"/>
      </w:rPr>
    </w:lvl>
    <w:lvl w:ilvl="7" w:tplc="F2AEBE8C">
      <w:start w:val="1"/>
      <w:numFmt w:val="bullet"/>
      <w:lvlText w:val="o"/>
      <w:lvlJc w:val="left"/>
      <w:pPr>
        <w:ind w:left="5760" w:hanging="360"/>
      </w:pPr>
      <w:rPr>
        <w:rFonts w:ascii="Courier New" w:hAnsi="Courier New" w:hint="default"/>
      </w:rPr>
    </w:lvl>
    <w:lvl w:ilvl="8" w:tplc="8892B5EA">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878C432"/>
    <w:rsid w:val="00895598"/>
    <w:rsid w:val="3878C432"/>
    <w:rsid w:val="724DCF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A016E"/>
  <w15:chartTrackingRefBased/>
  <w15:docId w15:val="{144D4D94-994A-4ECC-A02D-411455242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pPr>
      <w:spacing w:after="0" w:line="240" w:lineRule="auto"/>
    </w:pPr>
  </w:style>
  <w:style w:type="character" w:styleId="Hyperlink">
    <w:name w:val="Hyperlink"/>
    <w:basedOn w:val="Standaardalinea-lettertype"/>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Bacterie"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nl.wikipedia.org/wiki/Vloeistof" TargetMode="External"/><Relationship Id="rId12" Type="http://schemas.openxmlformats.org/officeDocument/2006/relationships/image" Target="media/image4.png"/><Relationship Id="rId17" Type="http://schemas.openxmlformats.org/officeDocument/2006/relationships/hyperlink" Target="https://www.milieucentraal.nl/minder-afval/verpakkinge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nl.wikipedia.org/wiki/Stof_(kleine_deeltjes)" TargetMode="Externa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hyperlink" Target="https://nl.wikipedia.org/wiki/Verpakkingsafval" TargetMode="Externa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428</Words>
  <Characters>2360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Luuk Boersen</dc:creator>
  <cp:keywords/>
  <dc:description/>
  <cp:lastModifiedBy>Luuk Boersen</cp:lastModifiedBy>
  <cp:revision>2</cp:revision>
  <dcterms:created xsi:type="dcterms:W3CDTF">2017-06-22T12:39:00Z</dcterms:created>
  <dcterms:modified xsi:type="dcterms:W3CDTF">2017-06-22T12:39:00Z</dcterms:modified>
</cp:coreProperties>
</file>